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FD991" w14:textId="0215FD92" w:rsidR="00B369DA" w:rsidRPr="00B0514C" w:rsidRDefault="00AC2BD3" w:rsidP="00B0514C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FD2622">
        <w:fldChar w:fldCharType="begin"/>
      </w:r>
      <w:r w:rsidR="00FD2622">
        <w:instrText xml:space="preserve"> DOCPROPERTY  TSG/WGRef  \* MERGEFORMAT </w:instrText>
      </w:r>
      <w:r w:rsidR="00FD2622">
        <w:fldChar w:fldCharType="separate"/>
      </w:r>
      <w:r>
        <w:rPr>
          <w:b/>
          <w:noProof/>
          <w:sz w:val="24"/>
        </w:rPr>
        <w:t>RAN2</w:t>
      </w:r>
      <w:r w:rsidR="00FD262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6583">
        <w:rPr>
          <w:b/>
          <w:noProof/>
          <w:sz w:val="24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0514C" w:rsidRPr="00B0514C">
        <w:rPr>
          <w:rFonts w:cs="Arial"/>
          <w:b/>
          <w:noProof/>
          <w:sz w:val="24"/>
        </w:rPr>
        <w:t>R2-</w:t>
      </w:r>
      <w:r w:rsidR="00DE74E5">
        <w:rPr>
          <w:rFonts w:cs="Arial"/>
          <w:b/>
          <w:noProof/>
          <w:sz w:val="24"/>
        </w:rPr>
        <w:t>1916425</w:t>
      </w:r>
    </w:p>
    <w:p w14:paraId="53C5897E" w14:textId="50DFD813" w:rsidR="00B15A2A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</w:p>
    <w:p w14:paraId="5F049F9A" w14:textId="52F298F8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1" w:name="_Hlk10682772"/>
      <w:bookmarkStart w:id="2" w:name="OLE_LINK57"/>
      <w:bookmarkStart w:id="3" w:name="OLE_LINK58"/>
      <w:r w:rsidR="00AC2BD3" w:rsidRPr="00E56C7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AC2BD3">
        <w:rPr>
          <w:rFonts w:ascii="Arial" w:hAnsi="Arial" w:cs="Arial"/>
          <w:b/>
          <w:sz w:val="22"/>
          <w:szCs w:val="22"/>
        </w:rPr>
        <w:t xml:space="preserve"> </w:t>
      </w:r>
      <w:bookmarkEnd w:id="0"/>
      <w:bookmarkEnd w:id="1"/>
      <w:r w:rsidR="00F937AC" w:rsidRPr="00F937AC">
        <w:rPr>
          <w:rFonts w:ascii="Arial" w:hAnsi="Arial" w:cs="Arial"/>
          <w:b/>
          <w:sz w:val="22"/>
          <w:szCs w:val="22"/>
        </w:rPr>
        <w:t xml:space="preserve">LS on </w:t>
      </w:r>
      <w:r w:rsidR="00B0514C">
        <w:rPr>
          <w:rFonts w:ascii="Arial" w:hAnsi="Arial" w:cs="Arial"/>
          <w:b/>
          <w:sz w:val="22"/>
          <w:szCs w:val="22"/>
        </w:rPr>
        <w:t>PUR Fallback</w:t>
      </w:r>
    </w:p>
    <w:p w14:paraId="34FABA7D" w14:textId="0A683E0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B0514C">
        <w:rPr>
          <w:rFonts w:ascii="Arial" w:hAnsi="Arial" w:cs="Arial"/>
          <w:b/>
          <w:sz w:val="22"/>
          <w:szCs w:val="22"/>
        </w:rPr>
        <w:t>-</w:t>
      </w:r>
      <w:bookmarkStart w:id="7" w:name="_GoBack"/>
      <w:bookmarkEnd w:id="7"/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5AF69A02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7777777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8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E46BA1" w:rsidRPr="00E56C7A">
        <w:rPr>
          <w:rFonts w:ascii="Arial" w:hAnsi="Arial" w:cs="Arial"/>
          <w:sz w:val="22"/>
          <w:szCs w:val="22"/>
          <w:highlight w:val="yellow"/>
        </w:rPr>
        <w:t xml:space="preserve">Qualcomm [to be </w:t>
      </w:r>
      <w:r w:rsidR="005C59F2" w:rsidRPr="00E56C7A">
        <w:rPr>
          <w:rFonts w:ascii="Arial" w:hAnsi="Arial" w:cs="Arial"/>
          <w:sz w:val="22"/>
          <w:szCs w:val="22"/>
          <w:highlight w:val="yellow"/>
        </w:rPr>
        <w:t>RAN</w:t>
      </w:r>
      <w:r w:rsidR="00E46BA1" w:rsidRPr="00E56C7A">
        <w:rPr>
          <w:rFonts w:ascii="Arial" w:hAnsi="Arial" w:cs="Arial"/>
          <w:sz w:val="22"/>
          <w:szCs w:val="22"/>
          <w:highlight w:val="yellow"/>
        </w:rPr>
        <w:t>2]</w:t>
      </w:r>
    </w:p>
    <w:bookmarkEnd w:id="8"/>
    <w:p w14:paraId="665E9B14" w14:textId="7E0A035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RAN1</w:t>
      </w:r>
    </w:p>
    <w:p w14:paraId="56702ED9" w14:textId="6901ABD2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9" w:name="OLE_LINK45"/>
      <w:bookmarkStart w:id="10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-</w:t>
      </w:r>
    </w:p>
    <w:bookmarkEnd w:id="9"/>
    <w:bookmarkEnd w:id="10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4E9DA066" w14:textId="4664DDDE" w:rsidR="00B0514C" w:rsidRDefault="00B0514C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 xml:space="preserve">RAN2 thanks RAN1 for their </w:t>
      </w:r>
      <w:r w:rsidRPr="00B0514C">
        <w:rPr>
          <w:rFonts w:cs="Arial"/>
        </w:rPr>
        <w:t>LS on PUR transmission for NB-IoT/</w:t>
      </w:r>
      <w:proofErr w:type="spellStart"/>
      <w:r w:rsidRPr="00B0514C">
        <w:rPr>
          <w:rFonts w:cs="Arial"/>
        </w:rPr>
        <w:t>eMTC</w:t>
      </w:r>
      <w:proofErr w:type="spellEnd"/>
      <w:r>
        <w:rPr>
          <w:rFonts w:cs="Arial"/>
        </w:rPr>
        <w:t xml:space="preserve"> [R1-1911399]. In the LS, RAN1 has indicated the following agreement from RAN1#98bis.</w:t>
      </w:r>
    </w:p>
    <w:p w14:paraId="26A06B16" w14:textId="77777777" w:rsidR="00F96257" w:rsidRDefault="00F96257" w:rsidP="00E46BA1">
      <w:pPr>
        <w:pStyle w:val="CRCoverPage"/>
        <w:spacing w:after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F96257" w:rsidRPr="00C061ED" w14:paraId="3A2223A4" w14:textId="77777777" w:rsidTr="00C061ED">
        <w:tc>
          <w:tcPr>
            <w:tcW w:w="10081" w:type="dxa"/>
            <w:shd w:val="clear" w:color="auto" w:fill="auto"/>
          </w:tcPr>
          <w:p w14:paraId="419D9CD0" w14:textId="77777777" w:rsidR="00F96257" w:rsidRPr="00C061ED" w:rsidRDefault="00F96257" w:rsidP="00F96257">
            <w:pPr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2F8FC916" w14:textId="7338F1DF" w:rsidR="00F96257" w:rsidRPr="00C061ED" w:rsidRDefault="00F96257" w:rsidP="00C061ED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i/>
                <w:iCs/>
                <w:lang w:eastAsia="x-none"/>
              </w:rPr>
              <w:t>After data transmission on PUR, if nothing is received by the UE in a PUR search space window, the UE shall fallback to legacy RACH/EDT procedure.</w:t>
            </w:r>
          </w:p>
        </w:tc>
      </w:tr>
    </w:tbl>
    <w:p w14:paraId="2F440D97" w14:textId="77777777" w:rsidR="00F96257" w:rsidRDefault="00F96257" w:rsidP="00E46BA1">
      <w:pPr>
        <w:pStyle w:val="CRCoverPage"/>
        <w:spacing w:after="0"/>
        <w:rPr>
          <w:rFonts w:cs="Arial"/>
        </w:rPr>
      </w:pPr>
    </w:p>
    <w:p w14:paraId="3BBAFCF9" w14:textId="0F87AFA1" w:rsidR="00B0514C" w:rsidRDefault="00B0514C" w:rsidP="00E46BA1">
      <w:pPr>
        <w:pStyle w:val="CRCoverPage"/>
        <w:spacing w:after="0"/>
        <w:rPr>
          <w:rFonts w:cs="Arial"/>
        </w:rPr>
      </w:pPr>
    </w:p>
    <w:p w14:paraId="1C6C4539" w14:textId="32861912" w:rsidR="00B0514C" w:rsidRDefault="00B0514C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>RAN2#108</w:t>
      </w:r>
      <w:r w:rsidRPr="00B0514C">
        <w:rPr>
          <w:rFonts w:cs="Arial"/>
        </w:rPr>
        <w:t xml:space="preserve"> note</w:t>
      </w:r>
      <w:r>
        <w:rPr>
          <w:rFonts w:cs="Arial"/>
        </w:rPr>
        <w:t>d</w:t>
      </w:r>
      <w:r w:rsidRPr="00B0514C">
        <w:rPr>
          <w:rFonts w:cs="Arial"/>
        </w:rPr>
        <w:t xml:space="preserve"> </w:t>
      </w:r>
      <w:r>
        <w:rPr>
          <w:rFonts w:cs="Arial"/>
        </w:rPr>
        <w:t>the above RAN1 agreement</w:t>
      </w:r>
      <w:r w:rsidRPr="00B0514C">
        <w:rPr>
          <w:rFonts w:cs="Arial"/>
        </w:rPr>
        <w:t xml:space="preserve"> contradicts with </w:t>
      </w:r>
      <w:r>
        <w:rPr>
          <w:rFonts w:cs="Arial"/>
        </w:rPr>
        <w:t xml:space="preserve">the following </w:t>
      </w:r>
      <w:r w:rsidRPr="00B0514C">
        <w:rPr>
          <w:rFonts w:cs="Arial"/>
        </w:rPr>
        <w:t>RAN2#107 agreement</w:t>
      </w:r>
      <w:r>
        <w:rPr>
          <w:rFonts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F96257" w:rsidRPr="00C061ED" w14:paraId="7D2C54C0" w14:textId="77777777" w:rsidTr="00C061ED">
        <w:tc>
          <w:tcPr>
            <w:tcW w:w="10081" w:type="dxa"/>
            <w:shd w:val="clear" w:color="auto" w:fill="auto"/>
          </w:tcPr>
          <w:p w14:paraId="5A7F269C" w14:textId="77777777" w:rsidR="00F96257" w:rsidRPr="00C061ED" w:rsidRDefault="00F96257" w:rsidP="00F96257">
            <w:pPr>
              <w:rPr>
                <w:rFonts w:cs="Arial"/>
                <w:b/>
                <w:bCs/>
                <w:lang w:val="en-US"/>
              </w:rPr>
            </w:pPr>
            <w:r w:rsidRPr="00C061ED">
              <w:rPr>
                <w:rFonts w:cs="Arial"/>
                <w:b/>
                <w:bCs/>
                <w:lang w:val="en-US"/>
              </w:rPr>
              <w:t>Agreements</w:t>
            </w:r>
          </w:p>
          <w:p w14:paraId="5AF91CAA" w14:textId="77777777" w:rsidR="00F96257" w:rsidRPr="00C061ED" w:rsidRDefault="00F96257" w:rsidP="00C061ED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Arial"/>
                <w:bCs/>
                <w:lang w:val="en-US"/>
              </w:rPr>
            </w:pPr>
            <w:r w:rsidRPr="00C061ED">
              <w:rPr>
                <w:rFonts w:cs="Arial"/>
                <w:bCs/>
                <w:lang w:val="en-US"/>
              </w:rPr>
              <w:t>Fallback after D-PUR transmission is not successful is not specified i.e. it is up to UE implementation to initiate legacy RA, MO-EDT or wait for next D-PUR occasion.</w:t>
            </w:r>
          </w:p>
          <w:p w14:paraId="46BDDF4D" w14:textId="77777777" w:rsidR="00F96257" w:rsidRPr="00C061ED" w:rsidRDefault="00F96257" w:rsidP="00C061ED">
            <w:pPr>
              <w:pStyle w:val="CRCoverPage"/>
              <w:spacing w:after="0"/>
              <w:rPr>
                <w:rFonts w:cs="Arial"/>
              </w:rPr>
            </w:pPr>
          </w:p>
        </w:tc>
      </w:tr>
    </w:tbl>
    <w:p w14:paraId="2EC0B0EF" w14:textId="77777777" w:rsidR="00B0514C" w:rsidRDefault="00B0514C" w:rsidP="00E46BA1">
      <w:pPr>
        <w:pStyle w:val="CRCoverPage"/>
        <w:spacing w:after="0"/>
        <w:rPr>
          <w:rFonts w:cs="Arial"/>
        </w:rPr>
      </w:pPr>
    </w:p>
    <w:p w14:paraId="07634A96" w14:textId="29DDFD1E" w:rsidR="00E46BA1" w:rsidRDefault="00B0514C" w:rsidP="00E46BA1">
      <w:pPr>
        <w:pStyle w:val="CRCoverPage"/>
        <w:spacing w:after="0"/>
        <w:rPr>
          <w:rFonts w:cs="Arial"/>
        </w:rPr>
      </w:pPr>
      <w:r w:rsidRPr="00B0514C">
        <w:rPr>
          <w:rFonts w:cs="Arial"/>
        </w:rPr>
        <w:t xml:space="preserve">RAN2 </w:t>
      </w:r>
      <w:r>
        <w:rPr>
          <w:rFonts w:cs="Arial"/>
        </w:rPr>
        <w:t xml:space="preserve">would </w:t>
      </w:r>
      <w:r w:rsidR="007C6DE5">
        <w:rPr>
          <w:rFonts w:cs="Arial"/>
        </w:rPr>
        <w:t>like to</w:t>
      </w:r>
      <w:r>
        <w:rPr>
          <w:rFonts w:cs="Arial"/>
        </w:rPr>
        <w:t xml:space="preserve"> </w:t>
      </w:r>
      <w:r w:rsidR="00F96257">
        <w:rPr>
          <w:rFonts w:cs="Arial"/>
        </w:rPr>
        <w:t xml:space="preserve">respectfully </w:t>
      </w:r>
      <w:r>
        <w:rPr>
          <w:rFonts w:cs="Arial"/>
        </w:rPr>
        <w:t xml:space="preserve">notify RAN1 that RAN2 </w:t>
      </w:r>
      <w:r w:rsidRPr="00B0514C">
        <w:rPr>
          <w:rFonts w:cs="Arial"/>
        </w:rPr>
        <w:t xml:space="preserve">reconfirms the </w:t>
      </w:r>
      <w:r>
        <w:rPr>
          <w:rFonts w:cs="Arial"/>
        </w:rPr>
        <w:t xml:space="preserve">above </w:t>
      </w:r>
      <w:r w:rsidRPr="00B0514C">
        <w:rPr>
          <w:rFonts w:cs="Arial"/>
        </w:rPr>
        <w:t>RAN2#107 agreement</w:t>
      </w:r>
      <w:r w:rsidR="00F96257">
        <w:rPr>
          <w:rFonts w:cs="Arial"/>
        </w:rPr>
        <w:t xml:space="preserve">, </w:t>
      </w:r>
      <w:r w:rsidR="00F96257" w:rsidRPr="00991F8D">
        <w:rPr>
          <w:rFonts w:cs="Arial"/>
          <w:bCs/>
          <w:lang w:val="en-US"/>
        </w:rPr>
        <w:t>i.e.</w:t>
      </w:r>
      <w:r w:rsidR="00F96257">
        <w:rPr>
          <w:rFonts w:cs="Arial"/>
          <w:bCs/>
          <w:lang w:val="en-US"/>
        </w:rPr>
        <w:t xml:space="preserve"> </w:t>
      </w:r>
      <w:r w:rsidR="00F96257" w:rsidRPr="00F96257">
        <w:rPr>
          <w:rFonts w:cs="Arial"/>
          <w:bCs/>
          <w:lang w:val="en-US"/>
        </w:rPr>
        <w:t xml:space="preserve">if nothing is received by the UE </w:t>
      </w:r>
      <w:r w:rsidR="00F96257">
        <w:rPr>
          <w:rFonts w:cs="Arial"/>
          <w:bCs/>
          <w:lang w:val="en-US"/>
        </w:rPr>
        <w:t>in response to the UL</w:t>
      </w:r>
      <w:r w:rsidR="00F96257" w:rsidRPr="00F96257">
        <w:rPr>
          <w:rFonts w:cs="Arial"/>
          <w:bCs/>
          <w:lang w:val="en-US"/>
        </w:rPr>
        <w:t xml:space="preserve"> data transmission on PUR, </w:t>
      </w:r>
      <w:r w:rsidR="00F96257" w:rsidRPr="00991F8D">
        <w:rPr>
          <w:rFonts w:cs="Arial"/>
          <w:bCs/>
          <w:lang w:val="en-US"/>
        </w:rPr>
        <w:t xml:space="preserve">it is </w:t>
      </w:r>
      <w:r w:rsidR="00F96257">
        <w:rPr>
          <w:rFonts w:cs="Arial"/>
          <w:bCs/>
          <w:lang w:val="en-US"/>
        </w:rPr>
        <w:t xml:space="preserve">left </w:t>
      </w:r>
      <w:r w:rsidR="00F96257" w:rsidRPr="00991F8D">
        <w:rPr>
          <w:rFonts w:cs="Arial"/>
          <w:bCs/>
          <w:lang w:val="en-US"/>
        </w:rPr>
        <w:t>up to UE implementation to initiate legacy RA, MO-EDT or wait for next D-PUR occasion</w:t>
      </w:r>
      <w:r w:rsidRPr="00B0514C">
        <w:rPr>
          <w:rFonts w:cs="Arial"/>
        </w:rPr>
        <w:t>.</w:t>
      </w:r>
    </w:p>
    <w:p w14:paraId="0E81B512" w14:textId="77777777" w:rsidR="00B0514C" w:rsidRPr="00822ADF" w:rsidRDefault="00B0514C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5D87F8A6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7C6DE5">
        <w:rPr>
          <w:rFonts w:ascii="Arial" w:hAnsi="Arial" w:cs="Arial"/>
          <w:b/>
        </w:rPr>
        <w:t>RAN1</w:t>
      </w:r>
      <w:r w:rsidR="00822ADF" w:rsidRPr="00822ADF">
        <w:rPr>
          <w:rFonts w:ascii="Arial" w:hAnsi="Arial" w:cs="Arial"/>
          <w:b/>
        </w:rPr>
        <w:t>:</w:t>
      </w:r>
    </w:p>
    <w:p w14:paraId="019586FB" w14:textId="4BE99014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7C6DE5">
        <w:rPr>
          <w:rFonts w:ascii="Arial" w:hAnsi="Arial" w:cs="Arial"/>
        </w:rPr>
        <w:t>RAN1</w:t>
      </w:r>
      <w:r w:rsidR="005C59F2" w:rsidRPr="00822ADF">
        <w:rPr>
          <w:rFonts w:ascii="Arial" w:hAnsi="Arial" w:cs="Arial"/>
        </w:rPr>
        <w:t xml:space="preserve"> to take the above into account</w:t>
      </w:r>
      <w:r w:rsidR="007C6DE5">
        <w:rPr>
          <w:rFonts w:ascii="Arial" w:hAnsi="Arial" w:cs="Arial"/>
        </w:rPr>
        <w:t xml:space="preserve"> in their further work on PUR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C0A7B" w14:textId="77777777" w:rsidR="00FD2622" w:rsidRDefault="00FD2622" w:rsidP="00767FC1">
      <w:r>
        <w:separator/>
      </w:r>
    </w:p>
  </w:endnote>
  <w:endnote w:type="continuationSeparator" w:id="0">
    <w:p w14:paraId="6E20BDC3" w14:textId="77777777" w:rsidR="00FD2622" w:rsidRDefault="00FD262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9BF20" w14:textId="77777777" w:rsidR="00FD2622" w:rsidRDefault="00FD2622" w:rsidP="00767FC1">
      <w:r>
        <w:separator/>
      </w:r>
    </w:p>
  </w:footnote>
  <w:footnote w:type="continuationSeparator" w:id="0">
    <w:p w14:paraId="102EB11B" w14:textId="77777777" w:rsidR="00FD2622" w:rsidRDefault="00FD262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4"/>
  </w:num>
  <w:num w:numId="5">
    <w:abstractNumId w:val="3"/>
  </w:num>
  <w:num w:numId="6">
    <w:abstractNumId w:val="14"/>
  </w:num>
  <w:num w:numId="7">
    <w:abstractNumId w:val="10"/>
  </w:num>
  <w:num w:numId="8">
    <w:abstractNumId w:val="12"/>
  </w:num>
  <w:num w:numId="9">
    <w:abstractNumId w:val="15"/>
  </w:num>
  <w:num w:numId="10">
    <w:abstractNumId w:val="6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</w:num>
  <w:num w:numId="15">
    <w:abstractNumId w:val="5"/>
  </w:num>
  <w:num w:numId="16">
    <w:abstractNumId w:val="0"/>
  </w:num>
  <w:num w:numId="17">
    <w:abstractNumId w:val="8"/>
  </w:num>
  <w:num w:numId="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9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59D4"/>
    <w:rsid w:val="003A2D4A"/>
    <w:rsid w:val="003A5A99"/>
    <w:rsid w:val="003B373A"/>
    <w:rsid w:val="003C6EF7"/>
    <w:rsid w:val="003D4F7C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A45F4"/>
    <w:rsid w:val="005A7FA5"/>
    <w:rsid w:val="005C59F2"/>
    <w:rsid w:val="005C6364"/>
    <w:rsid w:val="005D55DD"/>
    <w:rsid w:val="005F0A17"/>
    <w:rsid w:val="006218FF"/>
    <w:rsid w:val="00622DC1"/>
    <w:rsid w:val="0062790C"/>
    <w:rsid w:val="0064276C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C6DE5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22F89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92389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514C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01522"/>
    <w:rsid w:val="00C061ED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2230"/>
    <w:rsid w:val="00D0476C"/>
    <w:rsid w:val="00D07F6F"/>
    <w:rsid w:val="00D1586F"/>
    <w:rsid w:val="00D305B8"/>
    <w:rsid w:val="00D35A4F"/>
    <w:rsid w:val="00D42CFC"/>
    <w:rsid w:val="00D47889"/>
    <w:rsid w:val="00D73A87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DE74E5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67E8"/>
    <w:rsid w:val="00F40B8A"/>
    <w:rsid w:val="00F41356"/>
    <w:rsid w:val="00F42613"/>
    <w:rsid w:val="00F44DCB"/>
    <w:rsid w:val="00F76FFD"/>
    <w:rsid w:val="00F80BED"/>
    <w:rsid w:val="00F86659"/>
    <w:rsid w:val="00F937AC"/>
    <w:rsid w:val="00F96257"/>
    <w:rsid w:val="00FB071E"/>
    <w:rsid w:val="00FB3D77"/>
    <w:rsid w:val="00FB403C"/>
    <w:rsid w:val="00FD2622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9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36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36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69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69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69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69DA"/>
    <w:pPr>
      <w:outlineLvl w:val="5"/>
    </w:pPr>
  </w:style>
  <w:style w:type="paragraph" w:styleId="Heading7">
    <w:name w:val="heading 7"/>
    <w:basedOn w:val="H6"/>
    <w:next w:val="Normal"/>
    <w:qFormat/>
    <w:rsid w:val="00B369DA"/>
    <w:pPr>
      <w:outlineLvl w:val="6"/>
    </w:pPr>
  </w:style>
  <w:style w:type="paragraph" w:styleId="Heading8">
    <w:name w:val="heading 8"/>
    <w:basedOn w:val="Heading1"/>
    <w:next w:val="Normal"/>
    <w:qFormat/>
    <w:rsid w:val="00B36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6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36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369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369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369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69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69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69DA"/>
    <w:pPr>
      <w:ind w:left="1701" w:hanging="1701"/>
    </w:pPr>
  </w:style>
  <w:style w:type="paragraph" w:styleId="TOC4">
    <w:name w:val="toc 4"/>
    <w:basedOn w:val="TOC3"/>
    <w:semiHidden/>
    <w:rsid w:val="00B369DA"/>
    <w:pPr>
      <w:ind w:left="1418" w:hanging="1418"/>
    </w:pPr>
  </w:style>
  <w:style w:type="paragraph" w:styleId="TOC3">
    <w:name w:val="toc 3"/>
    <w:basedOn w:val="TOC2"/>
    <w:semiHidden/>
    <w:rsid w:val="00B369DA"/>
    <w:pPr>
      <w:ind w:left="1134" w:hanging="1134"/>
    </w:pPr>
  </w:style>
  <w:style w:type="paragraph" w:styleId="TOC2">
    <w:name w:val="toc 2"/>
    <w:basedOn w:val="TOC1"/>
    <w:semiHidden/>
    <w:rsid w:val="00B369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69DA"/>
    <w:pPr>
      <w:ind w:left="284"/>
    </w:pPr>
  </w:style>
  <w:style w:type="paragraph" w:styleId="Index1">
    <w:name w:val="index 1"/>
    <w:basedOn w:val="Normal"/>
    <w:semiHidden/>
    <w:rsid w:val="00B369DA"/>
    <w:pPr>
      <w:keepLines/>
      <w:spacing w:after="0"/>
    </w:pPr>
  </w:style>
  <w:style w:type="paragraph" w:customStyle="1" w:styleId="ZH">
    <w:name w:val="ZH"/>
    <w:rsid w:val="00B369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69DA"/>
    <w:pPr>
      <w:outlineLvl w:val="9"/>
    </w:pPr>
  </w:style>
  <w:style w:type="paragraph" w:styleId="ListNumber2">
    <w:name w:val="List Number 2"/>
    <w:basedOn w:val="ListNumber"/>
    <w:rsid w:val="00B369DA"/>
    <w:pPr>
      <w:ind w:left="851"/>
    </w:pPr>
  </w:style>
  <w:style w:type="character" w:styleId="FootnoteReference">
    <w:name w:val="footnote reference"/>
    <w:semiHidden/>
    <w:rsid w:val="00B369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69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369DA"/>
    <w:rPr>
      <w:b/>
    </w:rPr>
  </w:style>
  <w:style w:type="paragraph" w:customStyle="1" w:styleId="TAC">
    <w:name w:val="TAC"/>
    <w:basedOn w:val="TAL"/>
    <w:rsid w:val="00B369DA"/>
    <w:pPr>
      <w:jc w:val="center"/>
    </w:pPr>
  </w:style>
  <w:style w:type="paragraph" w:customStyle="1" w:styleId="TF">
    <w:name w:val="TF"/>
    <w:basedOn w:val="TH"/>
    <w:rsid w:val="00B369DA"/>
    <w:pPr>
      <w:keepNext w:val="0"/>
      <w:spacing w:before="0" w:after="240"/>
    </w:pPr>
  </w:style>
  <w:style w:type="paragraph" w:customStyle="1" w:styleId="NO">
    <w:name w:val="NO"/>
    <w:basedOn w:val="Normal"/>
    <w:rsid w:val="00B369DA"/>
    <w:pPr>
      <w:keepLines/>
      <w:ind w:left="1135" w:hanging="851"/>
    </w:pPr>
  </w:style>
  <w:style w:type="paragraph" w:styleId="TOC9">
    <w:name w:val="toc 9"/>
    <w:basedOn w:val="TOC8"/>
    <w:semiHidden/>
    <w:rsid w:val="00B369DA"/>
    <w:pPr>
      <w:ind w:left="1418" w:hanging="1418"/>
    </w:pPr>
  </w:style>
  <w:style w:type="paragraph" w:customStyle="1" w:styleId="EX">
    <w:name w:val="EX"/>
    <w:basedOn w:val="Normal"/>
    <w:rsid w:val="00B369DA"/>
    <w:pPr>
      <w:keepLines/>
      <w:ind w:left="1702" w:hanging="1418"/>
    </w:pPr>
  </w:style>
  <w:style w:type="paragraph" w:customStyle="1" w:styleId="FP">
    <w:name w:val="FP"/>
    <w:basedOn w:val="Normal"/>
    <w:rsid w:val="00B369DA"/>
    <w:pPr>
      <w:spacing w:after="0"/>
    </w:pPr>
  </w:style>
  <w:style w:type="paragraph" w:customStyle="1" w:styleId="LD">
    <w:name w:val="LD"/>
    <w:rsid w:val="00B369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69DA"/>
    <w:pPr>
      <w:spacing w:after="0"/>
    </w:pPr>
  </w:style>
  <w:style w:type="paragraph" w:customStyle="1" w:styleId="EW">
    <w:name w:val="EW"/>
    <w:basedOn w:val="EX"/>
    <w:rsid w:val="00B369DA"/>
    <w:pPr>
      <w:spacing w:after="0"/>
    </w:pPr>
  </w:style>
  <w:style w:type="paragraph" w:styleId="TOC6">
    <w:name w:val="toc 6"/>
    <w:basedOn w:val="TOC5"/>
    <w:next w:val="Normal"/>
    <w:semiHidden/>
    <w:rsid w:val="00B369DA"/>
    <w:pPr>
      <w:ind w:left="1985" w:hanging="1985"/>
    </w:pPr>
  </w:style>
  <w:style w:type="paragraph" w:styleId="TOC7">
    <w:name w:val="toc 7"/>
    <w:basedOn w:val="TOC6"/>
    <w:next w:val="Normal"/>
    <w:semiHidden/>
    <w:rsid w:val="00B369DA"/>
    <w:pPr>
      <w:ind w:left="2268" w:hanging="2268"/>
    </w:pPr>
  </w:style>
  <w:style w:type="paragraph" w:styleId="ListBullet2">
    <w:name w:val="List Bullet 2"/>
    <w:basedOn w:val="ListBullet"/>
    <w:rsid w:val="00B369DA"/>
    <w:pPr>
      <w:ind w:left="851"/>
    </w:pPr>
  </w:style>
  <w:style w:type="paragraph" w:styleId="ListBullet3">
    <w:name w:val="List Bullet 3"/>
    <w:basedOn w:val="ListBullet2"/>
    <w:rsid w:val="00B369DA"/>
    <w:pPr>
      <w:ind w:left="1135"/>
    </w:pPr>
  </w:style>
  <w:style w:type="paragraph" w:styleId="ListNumber">
    <w:name w:val="List Number"/>
    <w:basedOn w:val="List"/>
    <w:rsid w:val="00B369DA"/>
  </w:style>
  <w:style w:type="paragraph" w:customStyle="1" w:styleId="EQ">
    <w:name w:val="EQ"/>
    <w:basedOn w:val="Normal"/>
    <w:next w:val="Normal"/>
    <w:rsid w:val="00B369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69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69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9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69DA"/>
    <w:pPr>
      <w:jc w:val="right"/>
    </w:pPr>
  </w:style>
  <w:style w:type="paragraph" w:customStyle="1" w:styleId="H6">
    <w:name w:val="H6"/>
    <w:basedOn w:val="Heading5"/>
    <w:next w:val="Normal"/>
    <w:rsid w:val="00B369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69DA"/>
    <w:pPr>
      <w:ind w:left="851" w:hanging="851"/>
    </w:pPr>
  </w:style>
  <w:style w:type="paragraph" w:customStyle="1" w:styleId="TAL">
    <w:name w:val="TAL"/>
    <w:basedOn w:val="Normal"/>
    <w:rsid w:val="00B369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69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69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69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69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69DA"/>
    <w:pPr>
      <w:framePr w:wrap="notBeside" w:y="16161"/>
    </w:pPr>
  </w:style>
  <w:style w:type="character" w:customStyle="1" w:styleId="ZGSM">
    <w:name w:val="ZGSM"/>
    <w:rsid w:val="00B369DA"/>
  </w:style>
  <w:style w:type="paragraph" w:styleId="List2">
    <w:name w:val="List 2"/>
    <w:basedOn w:val="List"/>
    <w:rsid w:val="00B369DA"/>
    <w:pPr>
      <w:ind w:left="851"/>
    </w:pPr>
  </w:style>
  <w:style w:type="paragraph" w:customStyle="1" w:styleId="ZG">
    <w:name w:val="ZG"/>
    <w:rsid w:val="00B369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69DA"/>
    <w:pPr>
      <w:ind w:left="1135"/>
    </w:pPr>
  </w:style>
  <w:style w:type="paragraph" w:styleId="List4">
    <w:name w:val="List 4"/>
    <w:basedOn w:val="List3"/>
    <w:rsid w:val="00B369DA"/>
    <w:pPr>
      <w:ind w:left="1418"/>
    </w:pPr>
  </w:style>
  <w:style w:type="paragraph" w:styleId="List5">
    <w:name w:val="List 5"/>
    <w:basedOn w:val="List4"/>
    <w:rsid w:val="00B369DA"/>
    <w:pPr>
      <w:ind w:left="1702"/>
    </w:pPr>
  </w:style>
  <w:style w:type="paragraph" w:customStyle="1" w:styleId="EditorsNote">
    <w:name w:val="Editor's Note"/>
    <w:basedOn w:val="NO"/>
    <w:link w:val="EditorsNoteChar"/>
    <w:rsid w:val="00B369DA"/>
    <w:rPr>
      <w:color w:val="FF0000"/>
    </w:rPr>
  </w:style>
  <w:style w:type="paragraph" w:styleId="List">
    <w:name w:val="List"/>
    <w:basedOn w:val="Normal"/>
    <w:rsid w:val="00B369DA"/>
    <w:pPr>
      <w:ind w:left="568" w:hanging="284"/>
    </w:pPr>
  </w:style>
  <w:style w:type="paragraph" w:styleId="ListBullet">
    <w:name w:val="List Bullet"/>
    <w:basedOn w:val="List"/>
    <w:rsid w:val="00B369DA"/>
  </w:style>
  <w:style w:type="paragraph" w:styleId="ListBullet4">
    <w:name w:val="List Bullet 4"/>
    <w:basedOn w:val="ListBullet3"/>
    <w:rsid w:val="00B369DA"/>
    <w:pPr>
      <w:ind w:left="1418"/>
    </w:pPr>
  </w:style>
  <w:style w:type="paragraph" w:styleId="ListBullet5">
    <w:name w:val="List Bullet 5"/>
    <w:basedOn w:val="ListBullet4"/>
    <w:rsid w:val="00B369DA"/>
    <w:pPr>
      <w:ind w:left="1702"/>
    </w:pPr>
  </w:style>
  <w:style w:type="paragraph" w:customStyle="1" w:styleId="B2">
    <w:name w:val="B2"/>
    <w:basedOn w:val="List2"/>
    <w:rsid w:val="00B369DA"/>
  </w:style>
  <w:style w:type="paragraph" w:customStyle="1" w:styleId="B3">
    <w:name w:val="B3"/>
    <w:basedOn w:val="List3"/>
    <w:rsid w:val="00B369DA"/>
  </w:style>
  <w:style w:type="paragraph" w:customStyle="1" w:styleId="B4">
    <w:name w:val="B4"/>
    <w:basedOn w:val="List4"/>
    <w:rsid w:val="00B369DA"/>
  </w:style>
  <w:style w:type="paragraph" w:customStyle="1" w:styleId="B5">
    <w:name w:val="B5"/>
    <w:basedOn w:val="List5"/>
    <w:rsid w:val="00B369DA"/>
  </w:style>
  <w:style w:type="paragraph" w:customStyle="1" w:styleId="ZTD">
    <w:name w:val="ZTD"/>
    <w:basedOn w:val="ZB"/>
    <w:rsid w:val="00B369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  <w:style w:type="table" w:styleId="TableGrid">
    <w:name w:val="Table Grid"/>
    <w:basedOn w:val="TableNormal"/>
    <w:uiPriority w:val="59"/>
    <w:rsid w:val="00F96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 (Umesh)</cp:lastModifiedBy>
  <cp:revision>6</cp:revision>
  <cp:lastPrinted>2002-04-23T16:10:00Z</cp:lastPrinted>
  <dcterms:created xsi:type="dcterms:W3CDTF">2019-11-20T00:07:00Z</dcterms:created>
  <dcterms:modified xsi:type="dcterms:W3CDTF">2019-11-21T16:32:00Z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